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Пояснительная  записка к показателям прогноза социально-экономического развития Дергачевского муниципального района на 2024-2026гг.</w:t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/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Демографическая ситуация в Дергачевском районе на 01.01.2023 года сложилась следующим образом:</w:t>
      </w:r>
      <w:r>
        <w:rPr>
          <w:rFonts w:cs="Times New Roman" w:ascii="Times New Roman" w:hAnsi="Times New Roman"/>
          <w:sz w:val="28"/>
          <w:szCs w:val="28"/>
        </w:rPr>
        <w:t xml:space="preserve"> численность населения всего составила 16484 человек; число родившихся – 130 человек; число умерших – 297, соответственно, естественная убыль составила 167 человек.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Основные показатели миграции на территории района представлены численностью прибывших – 444 человек и численность выбывших - 712 человек, соответственно, миграционная убыль составила 268 человек.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Сокращение численности населения происходит из-за естественной убыли и миграции в другие регионы. 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Основной причиной общей смертности является болезни сердечно-сосудистой системы, пандемия коронавируса COVID-19 и ассоциированные с ней причины.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 2022 году индекс промышленного производства значительно снизился и составил 77%.</w:t>
      </w: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Снижение индекса промышленного производства произошло из-за утилизации мяса птицы в связи с ликвидацией очага особо опасной болезни - птичий грипп. 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Объем отгруженной продукции в 2022 году составил 210248,9 тыс.руб.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Оборот розничной торговли в 2022 году составил 1756515 тыс.руб., темп роста 97,3%.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Оборот общественного питания в 2022 году составил 28729 тыс.руб., темп роста составил 71,5%.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Основные характеристики труда на 01.01.2023 года: 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Численность населения в трудоспособном возрасте - 8338 человек;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Численность занятого населения в основных отраслях экономики – 2986 человек;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Численность зарегистрированных безработных на территории района – 181 человек;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Среднемесячная заработная плата – 31219 руб.;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Средний размер пенсий – 15000 руб.;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Среднедушевые денежные доходы – </w:t>
      </w:r>
    </w:p>
    <w:p>
      <w:pPr>
        <w:pStyle w:val="Normal"/>
        <w:jc w:val="both"/>
        <w:rPr>
          <w:b/>
          <w:bCs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Наиболее значимые позитивные тенденции социально-экономического развития района:</w:t>
      </w:r>
    </w:p>
    <w:p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Улучшение качества жизни населения ( в рамках программы «Комфортная городская среда» были благоустроенны 3 общественные территории; в рамках программы «Комплексное развитие сельских территорий» были заменены водопроводные сети на территории сельских поселений, а так же обустроены контейнеры для мусора; отремонтированы автомобильные дороги);</w:t>
      </w:r>
    </w:p>
    <w:p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Увеличение объемов инвестиций в основной капитал ( в 2022 году объем составил 3354344 тыс.руб., основной приток инвестиций – это сельское хозяйство);</w:t>
      </w:r>
    </w:p>
    <w:p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Улучшение качества образования ( в рамках федерального проекта «Образование» были созданы 5 центров «Точка роста»; в рамках регионального проекта Саратовской области «Развитие инфраструктуры образовательных организаций Саратовской области» на 2022-2026 годы  в двух школах и двух садах проведен капитальный ремонт кровель).</w:t>
      </w:r>
    </w:p>
    <w:p>
      <w:pPr>
        <w:pStyle w:val="Normal"/>
        <w:jc w:val="both"/>
        <w:rPr>
          <w:b/>
          <w:bCs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Наиболее значимые негативные тенденции:</w:t>
      </w:r>
    </w:p>
    <w:p>
      <w:pPr>
        <w:pStyle w:val="Normal"/>
        <w:widowControl/>
        <w:suppressAutoHyphens w:val="false"/>
        <w:bidi w:val="0"/>
        <w:spacing w:before="0" w:after="0"/>
        <w:ind w:left="1020" w:right="0" w:hanging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1. </w:t>
      </w:r>
      <w:r>
        <w:rPr>
          <w:rFonts w:cs="Times New Roman" w:ascii="Times New Roman" w:hAnsi="Times New Roman"/>
          <w:sz w:val="28"/>
          <w:szCs w:val="28"/>
        </w:rPr>
        <w:t>Негативные демографические тенденции (снижение рождаемости, отток перспективных молодых кадров, отток населения трудоспособного возраста из удаленных населенных пунктов в города);</w:t>
      </w:r>
    </w:p>
    <w:p>
      <w:pPr>
        <w:pStyle w:val="Normal"/>
        <w:widowControl/>
        <w:suppressAutoHyphens w:val="false"/>
        <w:bidi w:val="0"/>
        <w:spacing w:before="0" w:after="0"/>
        <w:ind w:left="1020" w:right="0" w:hanging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Н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333333"/>
          <w:spacing w:val="0"/>
          <w:sz w:val="28"/>
          <w:szCs w:val="28"/>
        </w:rPr>
        <w:t>едостаточно диверсифицированная структура экономики (преимущественно сырьевая направленность сельскохозяйственной</w:t>
      </w:r>
      <w:r>
        <w:rPr>
          <w:rFonts w:cs="Times New Roman" w:ascii="Times New Roman" w:hAnsi="Times New Roman"/>
          <w:sz w:val="28"/>
          <w:szCs w:val="28"/>
        </w:rPr>
        <w:t xml:space="preserve"> отрасли; дефицит высококвалифицированных рабочих кадров);</w:t>
      </w:r>
    </w:p>
    <w:p>
      <w:pPr>
        <w:pStyle w:val="Normal"/>
        <w:widowControl/>
        <w:suppressAutoHyphens w:val="false"/>
        <w:bidi w:val="0"/>
        <w:spacing w:before="0" w:after="0"/>
        <w:ind w:right="0"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Крупные предприятия на территории Дергачевского муниципального района, определяющие развитие:</w:t>
      </w:r>
    </w:p>
    <w:p>
      <w:pPr>
        <w:pStyle w:val="Normal"/>
        <w:widowControl/>
        <w:numPr>
          <w:ilvl w:val="0"/>
          <w:numId w:val="3"/>
        </w:numPr>
        <w:suppressAutoHyphens w:val="false"/>
        <w:bidi w:val="0"/>
        <w:spacing w:before="0" w:after="0"/>
        <w:ind w:left="1417" w:right="0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ООО «МТС-Ершовская» - ( среднесписочная численность — 184 человек, ср.заработная плата — 42894 руб, основной вид деятельности — выращивание зерновых культур);</w:t>
      </w:r>
    </w:p>
    <w:p>
      <w:pPr>
        <w:pStyle w:val="Normal"/>
        <w:widowControl/>
        <w:numPr>
          <w:ilvl w:val="0"/>
          <w:numId w:val="3"/>
        </w:numPr>
        <w:suppressAutoHyphens w:val="false"/>
        <w:bidi w:val="0"/>
        <w:spacing w:before="0" w:after="0"/>
        <w:ind w:left="1417" w:right="0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ООО «Деметра» - (среднесписочная численность — 79 человек, ср.заработная плата — 39526 руб, основной вид деятельности — выращивание зерновых культур);</w:t>
      </w:r>
    </w:p>
    <w:p>
      <w:pPr>
        <w:pStyle w:val="Normal"/>
        <w:widowControl/>
        <w:numPr>
          <w:ilvl w:val="0"/>
          <w:numId w:val="3"/>
        </w:numPr>
        <w:suppressAutoHyphens w:val="false"/>
        <w:bidi w:val="0"/>
        <w:spacing w:before="0" w:after="0"/>
        <w:ind w:left="1417" w:right="0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ООО «Дергачевский элеватор» ( среднесписочная численность — 118 человек, ср.заработная плата — 34179 руб, основной вид деятельности — выращивание зерновых культур, производство муки, готовых кормов, хлеба, хлебобулочных изделий);</w:t>
      </w:r>
    </w:p>
    <w:p>
      <w:pPr>
        <w:pStyle w:val="Normal"/>
        <w:widowControl/>
        <w:numPr>
          <w:ilvl w:val="0"/>
          <w:numId w:val="3"/>
        </w:numPr>
        <w:suppressAutoHyphens w:val="false"/>
        <w:bidi w:val="0"/>
        <w:spacing w:before="0" w:after="0"/>
        <w:ind w:left="1417" w:right="0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ООО «Дергачи-птица» - (среднесписочная численность — 106 человек, ср.заработная плата — 33995 руб, основной вид деятельности — разведение сельскохозяйственной птицы; выращивание зерновых культур);</w:t>
      </w:r>
    </w:p>
    <w:p>
      <w:pPr>
        <w:pStyle w:val="Normal"/>
        <w:widowControl/>
        <w:numPr>
          <w:ilvl w:val="0"/>
          <w:numId w:val="3"/>
        </w:numPr>
        <w:suppressAutoHyphens w:val="false"/>
        <w:bidi w:val="0"/>
        <w:spacing w:before="0" w:after="0"/>
        <w:ind w:left="1417" w:right="0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СХА «Восход» - (среднесписочная численность — 14 человек, ср.заработная плата — 39917 руб, основной вид деятельности — выращивание зерновых культур);</w:t>
      </w:r>
    </w:p>
    <w:p>
      <w:pPr>
        <w:pStyle w:val="Normal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 наиболее значимых инвестиционных проектов в реализованных в 2021-2022 году:</w:t>
      </w:r>
    </w:p>
    <w:p>
      <w:pPr>
        <w:pStyle w:val="Normal"/>
        <w:widowControl/>
        <w:numPr>
          <w:ilvl w:val="0"/>
          <w:numId w:val="4"/>
        </w:numPr>
        <w:suppressAutoHyphens w:val="false"/>
        <w:bidi w:val="0"/>
        <w:spacing w:before="0" w:after="0"/>
        <w:ind w:left="737" w:right="0" w:firstLine="22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Проект «Обустройство месторождений восточной части Бортового лицензионного участка Саратовской области» - инвестор ООО «Диалл Альянс», объем инвестиций 9447 млн.руб.;</w:t>
      </w:r>
    </w:p>
    <w:p>
      <w:pPr>
        <w:pStyle w:val="Normal"/>
        <w:widowControl/>
        <w:numPr>
          <w:ilvl w:val="0"/>
          <w:numId w:val="4"/>
        </w:numPr>
        <w:suppressAutoHyphens w:val="false"/>
        <w:bidi w:val="0"/>
        <w:spacing w:before="0" w:after="0"/>
        <w:ind w:left="737" w:right="0" w:firstLine="22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Строительство - Дергачевская СЭС 60 МВт (2 этап 20 МВт),  Дергачевская СЭС 60 МВт (3 этап 15 МВт), инвестор — ООО «Авелар Солар Технолоджи», объем инвестиций — 2465 млн.руб.;</w:t>
      </w:r>
    </w:p>
    <w:p>
      <w:pPr>
        <w:pStyle w:val="Normal"/>
        <w:widowControl/>
        <w:numPr>
          <w:ilvl w:val="0"/>
          <w:numId w:val="4"/>
        </w:numPr>
        <w:suppressAutoHyphens w:val="false"/>
        <w:bidi w:val="0"/>
        <w:spacing w:before="0" w:after="0"/>
        <w:ind w:left="737" w:right="0" w:firstLine="22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ООО «Магистраль» - приобретение новой дорожной техники, объем инвестиций — 60 млн.руб.;</w:t>
      </w:r>
    </w:p>
    <w:p>
      <w:pPr>
        <w:pStyle w:val="Normal"/>
        <w:widowControl/>
        <w:numPr>
          <w:ilvl w:val="0"/>
          <w:numId w:val="4"/>
        </w:numPr>
        <w:tabs>
          <w:tab w:val="clear" w:pos="709"/>
          <w:tab w:val="left" w:pos="1410" w:leader="none"/>
        </w:tabs>
        <w:suppressAutoHyphens w:val="false"/>
        <w:bidi w:val="0"/>
        <w:spacing w:before="0" w:after="0"/>
        <w:ind w:left="737" w:right="0" w:firstLine="22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Строительство склада под зерное — инвестор ООО «МТС-Ершовская», объем инвестиций — 21 млн.руб.;</w:t>
      </w:r>
    </w:p>
    <w:p>
      <w:pPr>
        <w:pStyle w:val="Normal"/>
        <w:widowControl/>
        <w:numPr>
          <w:ilvl w:val="0"/>
          <w:numId w:val="4"/>
        </w:numPr>
        <w:tabs>
          <w:tab w:val="clear" w:pos="709"/>
          <w:tab w:val="left" w:pos="1470" w:leader="none"/>
        </w:tabs>
        <w:suppressAutoHyphens w:val="false"/>
        <w:bidi w:val="0"/>
        <w:spacing w:before="0" w:after="0"/>
        <w:ind w:left="737" w:right="0" w:firstLine="22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Строительство ангара - ИП Глава КФХ Яхин Марс Константинович, объем инвестиций — 11 млн.руб. </w:t>
      </w:r>
    </w:p>
    <w:p>
      <w:pPr>
        <w:pStyle w:val="Normal"/>
        <w:widowControl/>
        <w:tabs>
          <w:tab w:val="clear" w:pos="709"/>
          <w:tab w:val="left" w:pos="1470" w:leader="none"/>
        </w:tabs>
        <w:suppressAutoHyphens w:val="false"/>
        <w:bidi w:val="0"/>
        <w:spacing w:before="0" w:after="0"/>
        <w:ind w:right="0" w:hanging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Факторы и ограничения экономического роста Дергачевского муниципального района:</w:t>
      </w:r>
    </w:p>
    <w:p>
      <w:pPr>
        <w:pStyle w:val="Normal"/>
        <w:widowControl/>
        <w:numPr>
          <w:ilvl w:val="0"/>
          <w:numId w:val="5"/>
        </w:numPr>
        <w:tabs>
          <w:tab w:val="clear" w:pos="709"/>
          <w:tab w:val="left" w:pos="1470" w:leader="none"/>
        </w:tabs>
        <w:suppressAutoHyphens w:val="false"/>
        <w:bidi w:val="0"/>
        <w:spacing w:before="0" w:after="0"/>
        <w:ind w:left="1417" w:right="0" w:hanging="34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Нехватка квалифицированных трудовых ресурсов;</w:t>
      </w:r>
    </w:p>
    <w:p>
      <w:pPr>
        <w:pStyle w:val="Normal"/>
        <w:widowControl/>
        <w:numPr>
          <w:ilvl w:val="0"/>
          <w:numId w:val="5"/>
        </w:numPr>
        <w:tabs>
          <w:tab w:val="clear" w:pos="709"/>
          <w:tab w:val="left" w:pos="1470" w:leader="none"/>
        </w:tabs>
        <w:suppressAutoHyphens w:val="false"/>
        <w:bidi w:val="0"/>
        <w:spacing w:before="0" w:after="0"/>
        <w:ind w:left="1417" w:right="0" w:hanging="34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Недополучение доходов в бюджет Дергачевского муниципального района ( крупные организации, зарегистрированые не на территории района, наемные работники — жители Дергачевского мунципального района, тем самым, налоги такие как ЕСХН, НДФЛ поступают в другой бюджет).</w:t>
      </w:r>
    </w:p>
    <w:p>
      <w:pPr>
        <w:pStyle w:val="ListParagraph"/>
        <w:tabs>
          <w:tab w:val="clear" w:pos="709"/>
          <w:tab w:val="left" w:pos="567" w:leader="none"/>
        </w:tabs>
        <w:ind w:left="0" w:hanging="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b/>
          <w:sz w:val="28"/>
          <w:szCs w:val="28"/>
        </w:rPr>
        <w:t>М</w:t>
      </w:r>
      <w:r>
        <w:rPr>
          <w:rFonts w:cs="Times New Roman" w:ascii="Times New Roman" w:hAnsi="Times New Roman"/>
          <w:b/>
          <w:sz w:val="28"/>
          <w:szCs w:val="28"/>
        </w:rPr>
        <w:t>ер</w:t>
      </w:r>
      <w:r>
        <w:rPr>
          <w:rFonts w:cs="Times New Roman" w:ascii="Times New Roman" w:hAnsi="Times New Roman"/>
          <w:b/>
          <w:sz w:val="28"/>
          <w:szCs w:val="28"/>
        </w:rPr>
        <w:t>ы</w:t>
      </w:r>
      <w:r>
        <w:rPr>
          <w:rFonts w:cs="Times New Roman" w:ascii="Times New Roman" w:hAnsi="Times New Roman"/>
          <w:b/>
          <w:sz w:val="28"/>
          <w:szCs w:val="28"/>
        </w:rPr>
        <w:t>, принимаемы</w:t>
      </w:r>
      <w:r>
        <w:rPr>
          <w:rFonts w:cs="Times New Roman" w:ascii="Times New Roman" w:hAnsi="Times New Roman"/>
          <w:b/>
          <w:sz w:val="28"/>
          <w:szCs w:val="28"/>
        </w:rPr>
        <w:t>е</w:t>
      </w:r>
      <w:r>
        <w:rPr>
          <w:rFonts w:cs="Times New Roman" w:ascii="Times New Roman" w:hAnsi="Times New Roman"/>
          <w:b/>
          <w:sz w:val="28"/>
          <w:szCs w:val="28"/>
        </w:rPr>
        <w:t xml:space="preserve"> на уровне региона и муниципального образования для стабилизации и развития ситуации в районе:</w:t>
      </w:r>
    </w:p>
    <w:p>
      <w:pPr>
        <w:pStyle w:val="ListParagraph"/>
        <w:tabs>
          <w:tab w:val="clear" w:pos="709"/>
          <w:tab w:val="left" w:pos="567" w:leader="none"/>
        </w:tabs>
        <w:ind w:left="0" w:hanging="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b/>
          <w:sz w:val="28"/>
          <w:szCs w:val="28"/>
        </w:rPr>
        <w:tab/>
        <w:t xml:space="preserve"> 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На территории Дергачевского муниципального района созданы меры для мотивации молодых специалистов к трудоустройству. С будущими студентами ВУЗ заключаются целевые договора, предусматриваются компенсационные выплаты, предоставляется служебное жилье.</w:t>
      </w:r>
    </w:p>
    <w:p>
      <w:pPr>
        <w:pStyle w:val="ListParagraph"/>
        <w:tabs>
          <w:tab w:val="clear" w:pos="709"/>
          <w:tab w:val="left" w:pos="567" w:leader="none"/>
        </w:tabs>
        <w:ind w:left="0" w:hanging="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ab/>
        <w:t xml:space="preserve">Так же район принимает участие в программах «Земский доктор», «Земский учитель».  </w:t>
      </w:r>
    </w:p>
    <w:p>
      <w:pPr>
        <w:pStyle w:val="ListParagraph"/>
        <w:tabs>
          <w:tab w:val="clear" w:pos="709"/>
          <w:tab w:val="left" w:pos="567" w:leader="none"/>
        </w:tabs>
        <w:ind w:left="0" w:hanging="0"/>
        <w:jc w:val="both"/>
        <w:rPr>
          <w:rFonts w:cs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</w:rPr>
      </w:r>
    </w:p>
    <w:p>
      <w:pPr>
        <w:pStyle w:val="Normal"/>
        <w:widowControl/>
        <w:tabs>
          <w:tab w:val="clear" w:pos="709"/>
          <w:tab w:val="left" w:pos="1470" w:leader="none"/>
        </w:tabs>
        <w:suppressAutoHyphens w:val="false"/>
        <w:bidi w:val="0"/>
        <w:spacing w:before="0" w:after="0"/>
        <w:ind w:righ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widowControl/>
        <w:tabs>
          <w:tab w:val="clear" w:pos="709"/>
          <w:tab w:val="left" w:pos="1470" w:leader="none"/>
        </w:tabs>
        <w:suppressAutoHyphens w:val="false"/>
        <w:bidi w:val="0"/>
        <w:spacing w:before="0" w:after="0"/>
        <w:ind w:righ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widowControl/>
        <w:tabs>
          <w:tab w:val="clear" w:pos="709"/>
          <w:tab w:val="left" w:pos="1470" w:leader="none"/>
        </w:tabs>
        <w:suppressAutoHyphens w:val="false"/>
        <w:bidi w:val="0"/>
        <w:spacing w:before="0" w:after="0"/>
        <w:ind w:righ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rPr/>
      </w:pPr>
      <w:r>
        <w:rPr>
          <w:rFonts w:cs="Times New Roman" w:ascii="Times New Roman" w:hAnsi="Times New Roman"/>
          <w:sz w:val="28"/>
          <w:szCs w:val="28"/>
        </w:rPr>
        <w:t>Исп. Салимова Ю.С.</w:t>
      </w:r>
    </w:p>
    <w:sectPr>
      <w:headerReference w:type="default" r:id="rId2"/>
      <w:type w:val="nextPage"/>
      <w:pgSz w:w="11906" w:h="16838"/>
      <w:pgMar w:left="1701" w:right="567" w:gutter="0" w:header="709" w:top="766" w:footer="0" w:bottom="567"/>
      <w:pgNumType w:fmt="decimal"/>
      <w:formProt w:val="false"/>
      <w:titlePg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jc w:val="center"/>
      <w:rPr>
        <w:rFonts w:ascii="Times New Roman" w:hAnsi="Times New Roman" w:cs="Times New Roman"/>
        <w:sz w:val="20"/>
        <w:szCs w:val="20"/>
      </w:rPr>
    </w:pPr>
    <w:r>
      <w:rPr/>
    </w:r>
  </w:p>
  <w:p>
    <w:pPr>
      <w:pStyle w:val="Style21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5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5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5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5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5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5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5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5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sz w:val="28"/>
        <w:szCs w:val="28"/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sz w:val="28"/>
        <w:szCs w:val="28"/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  <w:rPr>
        <w:sz w:val="28"/>
        <w:szCs w:val="28"/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  <w:rPr>
        <w:sz w:val="28"/>
        <w:szCs w:val="28"/>
        <w:rFonts w:ascii="Times New Roman" w:hAnsi="Times New Roman"/>
      </w:rPr>
    </w:lvl>
    <w:lvl w:ilvl="4">
      <w:start w:val="1"/>
      <w:numFmt w:val="decimal"/>
      <w:lvlText w:val="%5."/>
      <w:lvlJc w:val="left"/>
      <w:pPr>
        <w:tabs>
          <w:tab w:val="num" w:pos="2869"/>
        </w:tabs>
        <w:ind w:left="2869" w:hanging="360"/>
      </w:pPr>
      <w:rPr>
        <w:sz w:val="28"/>
        <w:szCs w:val="28"/>
        <w:rFonts w:ascii="Times New Roman" w:hAnsi="Times New Roman"/>
      </w:rPr>
    </w:lvl>
    <w:lvl w:ilvl="5">
      <w:start w:val="1"/>
      <w:numFmt w:val="decimal"/>
      <w:lvlText w:val="%6."/>
      <w:lvlJc w:val="left"/>
      <w:pPr>
        <w:tabs>
          <w:tab w:val="num" w:pos="3229"/>
        </w:tabs>
        <w:ind w:left="3229" w:hanging="360"/>
      </w:pPr>
      <w:rPr>
        <w:sz w:val="28"/>
        <w:szCs w:val="28"/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  <w:rPr>
        <w:sz w:val="28"/>
        <w:szCs w:val="28"/>
        <w:rFonts w:ascii="Times New Roman" w:hAnsi="Times New Roman"/>
      </w:rPr>
    </w:lvl>
    <w:lvl w:ilvl="7">
      <w:start w:val="1"/>
      <w:numFmt w:val="decimal"/>
      <w:lvlText w:val="%8."/>
      <w:lvlJc w:val="left"/>
      <w:pPr>
        <w:tabs>
          <w:tab w:val="num" w:pos="3949"/>
        </w:tabs>
        <w:ind w:left="3949" w:hanging="360"/>
      </w:pPr>
      <w:rPr>
        <w:sz w:val="28"/>
        <w:szCs w:val="28"/>
        <w:rFonts w:ascii="Times New Roman" w:hAnsi="Times New Roman"/>
      </w:rPr>
    </w:lvl>
    <w:lvl w:ilvl="8">
      <w:start w:val="1"/>
      <w:numFmt w:val="decimal"/>
      <w:lvlText w:val="%9."/>
      <w:lvlJc w:val="left"/>
      <w:pPr>
        <w:tabs>
          <w:tab w:val="num" w:pos="4309"/>
        </w:tabs>
        <w:ind w:left="4309" w:hanging="360"/>
      </w:pPr>
      <w:rPr>
        <w:sz w:val="28"/>
        <w:szCs w:val="28"/>
        <w:rFonts w:ascii="Times New Roman" w:hAnsi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8"/>
        <w:szCs w:val="28"/>
        <w:rFonts w:ascii="Times New Roman" w:hAnsi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8"/>
        <w:szCs w:val="28"/>
        <w:rFonts w:ascii="Times New Roman" w:hAnsi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8"/>
        <w:szCs w:val="28"/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8"/>
        <w:szCs w:val="28"/>
        <w:rFonts w:ascii="Times New Roman" w:hAnsi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8"/>
        <w:szCs w:val="28"/>
        <w:rFonts w:ascii="Times New Roman" w:hAnsi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8"/>
        <w:szCs w:val="28"/>
        <w:rFonts w:ascii="Times New Roman" w:hAnsi="Times New Roman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8"/>
        <w:szCs w:val="28"/>
        <w:rFonts w:ascii="Times New Roman" w:hAnsi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8"/>
        <w:szCs w:val="28"/>
        <w:rFonts w:ascii="Times New Roman" w:hAnsi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8"/>
        <w:szCs w:val="28"/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8"/>
        <w:szCs w:val="28"/>
        <w:rFonts w:ascii="Times New Roman" w:hAnsi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8"/>
        <w:szCs w:val="28"/>
        <w:rFonts w:ascii="Times New Roman" w:hAnsi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8"/>
        <w:szCs w:val="28"/>
        <w:rFonts w:ascii="Times New Roman" w:hAnsi="Times New Roman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23fcf"/>
    <w:pPr>
      <w:widowControl/>
      <w:suppressAutoHyphens w:val="fals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1"/>
    <w:uiPriority w:val="9"/>
    <w:qFormat/>
    <w:rsid w:val="00d11c07"/>
    <w:pPr>
      <w:spacing w:beforeAutospacing="1" w:afterAutospacing="1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paragraph" w:styleId="2">
    <w:name w:val="Heading 2"/>
    <w:basedOn w:val="Normal"/>
    <w:next w:val="Normal"/>
    <w:link w:val="21"/>
    <w:uiPriority w:val="9"/>
    <w:semiHidden/>
    <w:unhideWhenUsed/>
    <w:qFormat/>
    <w:rsid w:val="0092528e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31"/>
    <w:uiPriority w:val="9"/>
    <w:semiHidden/>
    <w:unhideWhenUsed/>
    <w:qFormat/>
    <w:rsid w:val="001e6d1a"/>
    <w:pPr>
      <w:keepNext w:val="true"/>
      <w:keepLines/>
      <w:spacing w:before="200" w:after="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Верхний колонтитул Знак"/>
    <w:basedOn w:val="DefaultParagraphFont"/>
    <w:uiPriority w:val="99"/>
    <w:qFormat/>
    <w:rsid w:val="00ad005b"/>
    <w:rPr/>
  </w:style>
  <w:style w:type="character" w:styleId="Style12" w:customStyle="1">
    <w:name w:val="Текст выноски Знак"/>
    <w:basedOn w:val="DefaultParagraphFont"/>
    <w:link w:val="BalloonText"/>
    <w:uiPriority w:val="99"/>
    <w:semiHidden/>
    <w:qFormat/>
    <w:rsid w:val="00ad005b"/>
    <w:rPr>
      <w:rFonts w:ascii="Tahoma" w:hAnsi="Tahoma" w:cs="Tahoma"/>
      <w:sz w:val="16"/>
      <w:szCs w:val="16"/>
    </w:rPr>
  </w:style>
  <w:style w:type="character" w:styleId="Style13" w:customStyle="1">
    <w:name w:val="Нижний колонтитул Знак"/>
    <w:basedOn w:val="DefaultParagraphFont"/>
    <w:uiPriority w:val="99"/>
    <w:qFormat/>
    <w:rsid w:val="005511bb"/>
    <w:rPr/>
  </w:style>
  <w:style w:type="character" w:styleId="-">
    <w:name w:val="Hyperlink"/>
    <w:basedOn w:val="DefaultParagraphFont"/>
    <w:uiPriority w:val="99"/>
    <w:unhideWhenUsed/>
    <w:rsid w:val="008631b1"/>
    <w:rPr>
      <w:color w:val="0000FF"/>
      <w:u w:val="single"/>
    </w:rPr>
  </w:style>
  <w:style w:type="character" w:styleId="11" w:customStyle="1">
    <w:name w:val="Заголовок 1 Знак"/>
    <w:basedOn w:val="DefaultParagraphFont"/>
    <w:uiPriority w:val="9"/>
    <w:qFormat/>
    <w:rsid w:val="00d11c07"/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character" w:styleId="Article-statdate" w:customStyle="1">
    <w:name w:val="article-stat__date"/>
    <w:basedOn w:val="DefaultParagraphFont"/>
    <w:qFormat/>
    <w:rsid w:val="00d11c07"/>
    <w:rPr/>
  </w:style>
  <w:style w:type="character" w:styleId="Article-statcount" w:customStyle="1">
    <w:name w:val="article-stat__count"/>
    <w:basedOn w:val="DefaultParagraphFont"/>
    <w:qFormat/>
    <w:rsid w:val="00d11c07"/>
    <w:rPr/>
  </w:style>
  <w:style w:type="character" w:styleId="Article-stat-tipvalue" w:customStyle="1">
    <w:name w:val="article-stat-tip__value"/>
    <w:basedOn w:val="DefaultParagraphFont"/>
    <w:qFormat/>
    <w:rsid w:val="00d11c07"/>
    <w:rPr/>
  </w:style>
  <w:style w:type="character" w:styleId="21" w:customStyle="1">
    <w:name w:val="Заголовок 2 Знак"/>
    <w:basedOn w:val="DefaultParagraphFont"/>
    <w:uiPriority w:val="9"/>
    <w:semiHidden/>
    <w:qFormat/>
    <w:rsid w:val="0092528e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Strong">
    <w:name w:val="Strong"/>
    <w:basedOn w:val="DefaultParagraphFont"/>
    <w:uiPriority w:val="22"/>
    <w:qFormat/>
    <w:rsid w:val="00f05b1f"/>
    <w:rPr>
      <w:b/>
      <w:bCs/>
    </w:rPr>
  </w:style>
  <w:style w:type="character" w:styleId="31" w:customStyle="1">
    <w:name w:val="Заголовок 3 Знак"/>
    <w:basedOn w:val="DefaultParagraphFont"/>
    <w:uiPriority w:val="9"/>
    <w:semiHidden/>
    <w:qFormat/>
    <w:rsid w:val="001e6d1a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character" w:styleId="HTML" w:customStyle="1">
    <w:name w:val="Стандартный HTML Знак"/>
    <w:basedOn w:val="DefaultParagraphFont"/>
    <w:link w:val="HTMLPreformatted"/>
    <w:uiPriority w:val="99"/>
    <w:semiHidden/>
    <w:qFormat/>
    <w:rsid w:val="003a6606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Likes-count-minimalcount" w:customStyle="1">
    <w:name w:val="likes-count-minimal__count"/>
    <w:basedOn w:val="DefaultParagraphFont"/>
    <w:qFormat/>
    <w:rsid w:val="00842eae"/>
    <w:rPr/>
  </w:style>
  <w:style w:type="character" w:styleId="Nobr" w:customStyle="1">
    <w:name w:val="nobr"/>
    <w:basedOn w:val="DefaultParagraphFont"/>
    <w:qFormat/>
    <w:rsid w:val="00037840"/>
    <w:rPr/>
  </w:style>
  <w:style w:type="character" w:styleId="Style14">
    <w:name w:val="Символ нумерации"/>
    <w:qFormat/>
    <w:rPr>
      <w:rFonts w:ascii="Times New Roman" w:hAnsi="Times New Roman"/>
      <w:sz w:val="28"/>
      <w:szCs w:val="28"/>
    </w:rPr>
  </w:style>
  <w:style w:type="paragraph" w:styleId="Style15" w:customStyle="1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Style20" w:customStyle="1">
    <w:name w:val="Колонтитул"/>
    <w:basedOn w:val="Normal"/>
    <w:qFormat/>
    <w:pPr/>
    <w:rPr/>
  </w:style>
  <w:style w:type="paragraph" w:styleId="Style21">
    <w:name w:val="Header"/>
    <w:basedOn w:val="Normal"/>
    <w:link w:val="Style11"/>
    <w:uiPriority w:val="99"/>
    <w:unhideWhenUsed/>
    <w:rsid w:val="00ad005b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2"/>
    <w:uiPriority w:val="99"/>
    <w:semiHidden/>
    <w:unhideWhenUsed/>
    <w:qFormat/>
    <w:rsid w:val="00ad005b"/>
    <w:pPr/>
    <w:rPr>
      <w:rFonts w:ascii="Tahoma" w:hAnsi="Tahoma" w:cs="Tahoma"/>
      <w:sz w:val="16"/>
      <w:szCs w:val="16"/>
    </w:rPr>
  </w:style>
  <w:style w:type="paragraph" w:styleId="Style22">
    <w:name w:val="Footer"/>
    <w:basedOn w:val="Normal"/>
    <w:link w:val="Style13"/>
    <w:uiPriority w:val="99"/>
    <w:unhideWhenUsed/>
    <w:rsid w:val="005511bb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NoSpacing">
    <w:name w:val="No Spacing"/>
    <w:uiPriority w:val="1"/>
    <w:qFormat/>
    <w:rsid w:val="00fa788c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nsplusnormal" w:customStyle="1">
    <w:name w:val="consplusnormal"/>
    <w:basedOn w:val="Normal"/>
    <w:qFormat/>
    <w:rsid w:val="00703442"/>
    <w:pPr>
      <w:spacing w:before="187" w:after="187"/>
      <w:ind w:left="187" w:right="187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b104c0"/>
    <w:pPr>
      <w:spacing w:before="0" w:after="0"/>
      <w:ind w:left="720" w:hanging="0"/>
      <w:contextualSpacing/>
    </w:pPr>
    <w:rPr/>
  </w:style>
  <w:style w:type="paragraph" w:styleId="Headertext" w:customStyle="1">
    <w:name w:val="headertext"/>
    <w:basedOn w:val="Normal"/>
    <w:qFormat/>
    <w:rsid w:val="00f1632e"/>
    <w:pPr>
      <w:spacing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l0" w:customStyle="1">
    <w:name w:val="bl0"/>
    <w:basedOn w:val="Normal"/>
    <w:qFormat/>
    <w:rsid w:val="00b24216"/>
    <w:pPr>
      <w:spacing w:beforeAutospacing="1" w:afterAutospacing="1"/>
    </w:pPr>
    <w:rPr>
      <w:rFonts w:ascii="Times New Roman" w:hAnsi="Times New Roman" w:eastAsia="Times New Roman" w:cs="Times New Roman"/>
      <w:b/>
      <w:bCs/>
      <w:sz w:val="18"/>
      <w:szCs w:val="18"/>
      <w:lang w:eastAsia="ru-RU"/>
    </w:rPr>
  </w:style>
  <w:style w:type="paragraph" w:styleId="Article-renderblock" w:customStyle="1">
    <w:name w:val="article-render__block"/>
    <w:basedOn w:val="Normal"/>
    <w:qFormat/>
    <w:rsid w:val="00d11c07"/>
    <w:pPr>
      <w:spacing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qFormat/>
    <w:rsid w:val="007b2ee2"/>
    <w:pPr>
      <w:spacing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HTMLPreformatted">
    <w:name w:val="HTML Preformatted"/>
    <w:basedOn w:val="Normal"/>
    <w:link w:val="HTML"/>
    <w:uiPriority w:val="99"/>
    <w:semiHidden/>
    <w:unhideWhenUsed/>
    <w:qFormat/>
    <w:rsid w:val="003a6606"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Pc" w:customStyle="1">
    <w:name w:val="pc"/>
    <w:basedOn w:val="Normal"/>
    <w:qFormat/>
    <w:rsid w:val="003a6606"/>
    <w:pPr>
      <w:spacing w:lineRule="atLeast" w:line="5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Pr" w:customStyle="1">
    <w:name w:val="pr"/>
    <w:basedOn w:val="Normal"/>
    <w:qFormat/>
    <w:rsid w:val="003a6606"/>
    <w:pPr>
      <w:spacing w:beforeAutospacing="1" w:afterAutospacing="1"/>
      <w:jc w:val="righ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Qaquestionbody" w:customStyle="1">
    <w:name w:val="qa__questionbody"/>
    <w:basedOn w:val="Normal"/>
    <w:qFormat/>
    <w:rsid w:val="007c620e"/>
    <w:pPr>
      <w:spacing w:before="0" w:after="15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4">
    <w:name w:val="Table Grid"/>
    <w:basedOn w:val="a1"/>
    <w:uiPriority w:val="59"/>
    <w:rsid w:val="00f761b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540F0-C366-4FA2-ABD3-908E2DEED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Application>LibreOffice/7.5.1.2$Windows_x86 LibreOffice_project/fcbaee479e84c6cd81291587d2ee68cba099e129</Application>
  <AppVersion>15.0000</AppVersion>
  <Pages>3</Pages>
  <Words>665</Words>
  <Characters>4884</Characters>
  <CharactersWithSpaces>5531</CharactersWithSpaces>
  <Paragraphs>42</Paragraphs>
  <Company>ГУ КК "Служба обеспечения ГЗ"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2023-06-19T19:17:00Z</dcterms:created>
  <dc:creator>Elynko</dc:creator>
  <dc:description/>
  <dc:language>ru-RU</dc:language>
  <cp:lastModifiedBy/>
  <cp:lastPrinted>2023-06-20T14:15:02Z</cp:lastPrinted>
  <dcterms:modified xsi:type="dcterms:W3CDTF">2023-06-20T14:16:02Z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